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8347" w14:textId="77777777" w:rsidR="001865FD" w:rsidRPr="001865FD" w:rsidRDefault="001865FD" w:rsidP="001865FD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</w:pPr>
      <w:r w:rsidRPr="001865FD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漏洞和安全预警管理规定</w:t>
      </w:r>
    </w:p>
    <w:p w14:paraId="02003D52" w14:textId="77777777" w:rsidR="001865FD" w:rsidRPr="001865FD" w:rsidRDefault="001865FD" w:rsidP="001865FD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0" w:name="_Toc5190041"/>
      <w:bookmarkStart w:id="1" w:name="_Toc5803079"/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第一章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总则</w:t>
      </w:r>
      <w:bookmarkEnd w:id="0"/>
      <w:bookmarkEnd w:id="1"/>
    </w:p>
    <w:p w14:paraId="5E3D3673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为保障北京大学信息系统安全、稳定运行，加强漏洞处置和安全通报预警管理，特制定本规定。</w:t>
      </w:r>
    </w:p>
    <w:p w14:paraId="6D5EB471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本规定适用于北京大学所有单位。</w:t>
      </w:r>
    </w:p>
    <w:p w14:paraId="653D3BA6" w14:textId="77777777" w:rsidR="001865FD" w:rsidRPr="001865FD" w:rsidRDefault="001865FD" w:rsidP="001865FD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2" w:name="_Toc5190042"/>
      <w:bookmarkStart w:id="3" w:name="_Toc5803080"/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第二章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漏洞和补丁管理</w:t>
      </w:r>
      <w:bookmarkEnd w:id="2"/>
      <w:bookmarkEnd w:id="3"/>
    </w:p>
    <w:p w14:paraId="79263F05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安全管理员、信息系统管理员应关注信息系统及其相关组件（操作系统、数据库、中间件、第三方组件）可能存在的漏洞，及时接收来自外部、</w:t>
      </w: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网信办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、计算中心的安全漏洞预警。</w:t>
      </w:r>
    </w:p>
    <w:p w14:paraId="4B4C9C5A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系统运</w:t>
      </w: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维单位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应及时采取措施修复安全漏洞，可采取补丁升级、系统环境配置更改、安全防护策略配置等策略，降低漏洞利用可能性。</w:t>
      </w:r>
    </w:p>
    <w:p w14:paraId="5516F426" w14:textId="77777777" w:rsidR="001865FD" w:rsidRPr="001865FD" w:rsidRDefault="001865FD" w:rsidP="001865FD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补丁管理原则：</w:t>
      </w:r>
    </w:p>
    <w:p w14:paraId="6CA12C45" w14:textId="77777777" w:rsidR="001865FD" w:rsidRPr="001865FD" w:rsidRDefault="001865FD" w:rsidP="001865FD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及时性原则：确保及时准确地安装必要的安全补丁，把安全漏洞对信息系统的潜在威胁降到最低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7E2C446E" w14:textId="77777777" w:rsidR="001865FD" w:rsidRPr="001865FD" w:rsidRDefault="001865FD" w:rsidP="001865FD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严密性原则：提前制定补丁测试和分发计划，在保障安全的同时不影响生产和应用系统的正常运行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1865FD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034A296C" w14:textId="77777777" w:rsidR="001865FD" w:rsidRPr="001865FD" w:rsidRDefault="001865FD" w:rsidP="001865FD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持续性原则：补丁管理工作是长期持续的工作，安全管理人员应定期跟踪厂商的补丁公告和安全公司的安全公告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4F23D8A5" w14:textId="77777777" w:rsidR="001865FD" w:rsidRPr="001865FD" w:rsidRDefault="001865FD" w:rsidP="001865FD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lastRenderedPageBreak/>
        <w:t>适应性原则：根据不同的场景执行安全补丁管理要求。</w:t>
      </w:r>
    </w:p>
    <w:p w14:paraId="2D3B0591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各信息系统管理员、网络管理员应确保补丁程序来源可靠，建议从厂商官方网站下载。对于支持校验的补丁程序，必须先校验可靠性，防止下载被恶意篡改后的补丁程序。安全管理员应根据最新的补丁通告信息，指导和组织各信息系统的安全补丁安装工作。</w:t>
      </w:r>
    </w:p>
    <w:p w14:paraId="4C514B11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系统补丁须预先在测试环境运行，确保不影响应用系统正常运行后，方可在生产系统实施。严禁未经测试直接在生产系统加载补丁。重要系统补丁升级前，应制定升级方案和恢复方案，对系统重要文件进行备份。</w:t>
      </w:r>
    </w:p>
    <w:p w14:paraId="65B99846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完成补丁测试后，经相关主机系统管理员、应用系统管理员确认未发现问题后，根据漏洞威胁的紧急程度，制定补丁分发计划，根据实际情况在生产系统中分批安装。补丁加载的操作过程应按照计划严格操作，并详细记录。</w:t>
      </w:r>
    </w:p>
    <w:p w14:paraId="1C13B21D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对于一些不能解决的补丁安装问题，需采用应急方案，使用备份系统或者卸载补丁，同时需确定临时解决办法消除漏洞潜在威胁，并尽快向补丁厂商寻求技术支持。</w:t>
      </w:r>
    </w:p>
    <w:p w14:paraId="3AA4BF9A" w14:textId="77777777" w:rsidR="001865FD" w:rsidRPr="001865FD" w:rsidRDefault="001865FD" w:rsidP="001865FD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4" w:name="_Toc5190043"/>
      <w:bookmarkStart w:id="5" w:name="_Toc5803081"/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第三章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安全通报预警</w:t>
      </w:r>
      <w:bookmarkEnd w:id="4"/>
      <w:bookmarkEnd w:id="5"/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</w:p>
    <w:p w14:paraId="5D575235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网信办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负责北京大学网络安全通报预警工作组织；计算中心负责安全通报预警技术支持。</w:t>
      </w:r>
    </w:p>
    <w:p w14:paraId="79F99E3B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系统运</w:t>
      </w: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维单位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应关注本系统存在的漏洞和风险，接收来自学校相关单位通报的安全风险，</w:t>
      </w:r>
      <w:r w:rsidRPr="001865FD">
        <w:rPr>
          <w:rFonts w:ascii="Times New Roman" w:eastAsia="仿宋" w:hAnsi="Times New Roman" w:cs="Times New Roman"/>
          <w:sz w:val="28"/>
          <w:szCs w:val="28"/>
        </w:rPr>
        <w:t>3</w:t>
      </w:r>
      <w:r w:rsidRPr="001865FD">
        <w:rPr>
          <w:rFonts w:ascii="Times New Roman" w:eastAsia="仿宋" w:hAnsi="Times New Roman" w:cs="Times New Roman"/>
          <w:sz w:val="28"/>
          <w:szCs w:val="28"/>
        </w:rPr>
        <w:t>个工作日内处置并反馈处理结果。</w:t>
      </w:r>
    </w:p>
    <w:p w14:paraId="78383B9C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lastRenderedPageBreak/>
        <w:t>系统运</w:t>
      </w: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维单位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的安全管理员负责本单位所有系统安全漏洞的协调处置并反馈。</w:t>
      </w:r>
      <w:proofErr w:type="gramStart"/>
      <w:r w:rsidRPr="001865FD">
        <w:rPr>
          <w:rFonts w:ascii="Times New Roman" w:eastAsia="仿宋" w:hAnsi="Times New Roman" w:cs="Times New Roman"/>
          <w:sz w:val="28"/>
          <w:szCs w:val="28"/>
        </w:rPr>
        <w:t>网信办</w:t>
      </w:r>
      <w:proofErr w:type="gramEnd"/>
      <w:r w:rsidRPr="001865FD">
        <w:rPr>
          <w:rFonts w:ascii="Times New Roman" w:eastAsia="仿宋" w:hAnsi="Times New Roman" w:cs="Times New Roman"/>
          <w:sz w:val="28"/>
          <w:szCs w:val="28"/>
        </w:rPr>
        <w:t>负责对接上级单位，接收安全问题并反馈整改情况。存在高危漏洞的信息系统必须在</w:t>
      </w:r>
      <w:r w:rsidRPr="001865FD">
        <w:rPr>
          <w:rFonts w:ascii="Times New Roman" w:eastAsia="仿宋" w:hAnsi="Times New Roman" w:cs="Times New Roman"/>
          <w:sz w:val="28"/>
          <w:szCs w:val="28"/>
        </w:rPr>
        <w:t>3</w:t>
      </w:r>
      <w:r w:rsidRPr="001865FD">
        <w:rPr>
          <w:rFonts w:ascii="Times New Roman" w:eastAsia="仿宋" w:hAnsi="Times New Roman" w:cs="Times New Roman"/>
          <w:sz w:val="28"/>
          <w:szCs w:val="28"/>
        </w:rPr>
        <w:t>个工作日内完成整改，否则将对系统暂停对外服务。</w:t>
      </w:r>
    </w:p>
    <w:p w14:paraId="2053CB61" w14:textId="77777777" w:rsidR="001865FD" w:rsidRPr="001865FD" w:rsidRDefault="001865FD" w:rsidP="001865FD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信息系统管理员应及时关注本系统所使用的操作系统、数据库、中间件、第三方组件等爆发的新漏洞和威胁，对可能影响的安全漏洞、事件及时处置。</w:t>
      </w:r>
    </w:p>
    <w:p w14:paraId="49AE1DE2" w14:textId="77777777" w:rsidR="001865FD" w:rsidRPr="001865FD" w:rsidRDefault="001865FD" w:rsidP="001865FD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6" w:name="_Toc5803082"/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第四章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1865FD">
        <w:rPr>
          <w:rFonts w:ascii="Times New Roman" w:eastAsia="楷体" w:hAnsi="Times New Roman" w:cs="Times New Roman"/>
          <w:b/>
          <w:bCs/>
          <w:sz w:val="32"/>
          <w:szCs w:val="28"/>
        </w:rPr>
        <w:t>附则</w:t>
      </w:r>
      <w:bookmarkEnd w:id="6"/>
    </w:p>
    <w:p w14:paraId="37BD322E" w14:textId="77777777" w:rsidR="001865FD" w:rsidRPr="001865FD" w:rsidRDefault="001865FD" w:rsidP="001865FD">
      <w:pPr>
        <w:numPr>
          <w:ilvl w:val="0"/>
          <w:numId w:val="2"/>
        </w:numPr>
        <w:tabs>
          <w:tab w:val="left" w:pos="1560"/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1865FD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（试行）配套</w:t>
      </w:r>
      <w:r w:rsidRPr="001865FD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1865FD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703AE8B2" w14:textId="77777777" w:rsidR="001865FD" w:rsidRPr="001865FD" w:rsidRDefault="001865FD" w:rsidP="001865FD">
      <w:pPr>
        <w:numPr>
          <w:ilvl w:val="0"/>
          <w:numId w:val="2"/>
        </w:numPr>
        <w:tabs>
          <w:tab w:val="left" w:pos="1560"/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1865FD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1EFDFAA3" w14:textId="77777777" w:rsidR="001865FD" w:rsidRPr="001865FD" w:rsidRDefault="001865FD" w:rsidP="001865FD">
      <w:pPr>
        <w:numPr>
          <w:ilvl w:val="0"/>
          <w:numId w:val="2"/>
        </w:numPr>
        <w:tabs>
          <w:tab w:val="left" w:pos="1560"/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1865FD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1865FD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1865FD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1085105E" w14:textId="77777777" w:rsidR="001865FD" w:rsidRPr="001865FD" w:rsidRDefault="001865FD" w:rsidP="001865FD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865FD">
        <w:rPr>
          <w:rFonts w:ascii="Times New Roman" w:eastAsia="仿宋" w:hAnsi="Times New Roman" w:cs="Times New Roman"/>
          <w:sz w:val="28"/>
          <w:szCs w:val="28"/>
        </w:rPr>
        <w:t>本规定自发布</w:t>
      </w:r>
      <w:r w:rsidRPr="001865FD">
        <w:rPr>
          <w:rFonts w:ascii="Times New Roman" w:eastAsia="仿宋" w:hAnsi="Times New Roman" w:cs="Times New Roman"/>
          <w:kern w:val="0"/>
          <w:sz w:val="28"/>
          <w:szCs w:val="28"/>
        </w:rPr>
        <w:t>之日起施行。</w:t>
      </w:r>
    </w:p>
    <w:p w14:paraId="597CD078" w14:textId="77777777" w:rsidR="00EF04AE" w:rsidRPr="001865FD" w:rsidRDefault="00EF04AE">
      <w:bookmarkStart w:id="7" w:name="_GoBack"/>
      <w:bookmarkEnd w:id="7"/>
    </w:p>
    <w:sectPr w:rsidR="00EF04AE" w:rsidRPr="0018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B308" w14:textId="77777777" w:rsidR="000E60DC" w:rsidRDefault="000E60DC" w:rsidP="001865FD">
      <w:r>
        <w:separator/>
      </w:r>
    </w:p>
  </w:endnote>
  <w:endnote w:type="continuationSeparator" w:id="0">
    <w:p w14:paraId="1D3BCBFE" w14:textId="77777777" w:rsidR="000E60DC" w:rsidRDefault="000E60DC" w:rsidP="001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17B1" w14:textId="77777777" w:rsidR="000E60DC" w:rsidRDefault="000E60DC" w:rsidP="001865FD">
      <w:r>
        <w:separator/>
      </w:r>
    </w:p>
  </w:footnote>
  <w:footnote w:type="continuationSeparator" w:id="0">
    <w:p w14:paraId="52E5EEBF" w14:textId="77777777" w:rsidR="000E60DC" w:rsidRDefault="000E60DC" w:rsidP="0018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7B3F"/>
    <w:multiLevelType w:val="hybridMultilevel"/>
    <w:tmpl w:val="11728BF0"/>
    <w:lvl w:ilvl="0" w:tplc="0409000F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04090019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0409000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0409001B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EB7A87"/>
    <w:multiLevelType w:val="hybridMultilevel"/>
    <w:tmpl w:val="11728BF0"/>
    <w:lvl w:ilvl="0" w:tplc="FFFFFFFF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FFFFFFFF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FFFFFFF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FFFFFFFF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FFFFFFFF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93318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C2D175B"/>
    <w:multiLevelType w:val="hybridMultilevel"/>
    <w:tmpl w:val="11728BF0"/>
    <w:lvl w:ilvl="0" w:tplc="EA2C4E62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8D38269C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1BEA5396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7D5467CA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887679A6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2DD6F586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46"/>
    <w:rsid w:val="000E60DC"/>
    <w:rsid w:val="001865FD"/>
    <w:rsid w:val="00562346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0C4C4-1CC0-43C2-BCFB-F00E0620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2019-06-17T07:57:00Z</dcterms:created>
  <dcterms:modified xsi:type="dcterms:W3CDTF">2019-06-17T07:57:00Z</dcterms:modified>
</cp:coreProperties>
</file>